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0A" w:rsidRDefault="003837E7">
      <w:pPr>
        <w:spacing w:after="0" w:line="240" w:lineRule="auto"/>
        <w:jc w:val="center"/>
        <w:rPr>
          <w:rFonts w:ascii="Arial" w:hAnsi="Arial"/>
        </w:rPr>
      </w:pPr>
      <w:bookmarkStart w:id="0" w:name="_GoBack"/>
      <w:r>
        <w:rPr>
          <w:rFonts w:ascii="Arial" w:hAnsi="Arial" w:cs="Times New Roman"/>
          <w:b/>
          <w:sz w:val="24"/>
          <w:szCs w:val="24"/>
        </w:rPr>
        <w:t>CONSIDERAÇÕES ACERCA DA PROPOSTA DE VINCULAÇÃO ORÇAMENTÁRIA CONSTITUCIONAL FACE A CRISE NA SEGURANÇA PÚBLICA BRASILEIRA</w:t>
      </w:r>
    </w:p>
    <w:p w:rsidR="00E0540A" w:rsidRDefault="00E0540A">
      <w:pPr>
        <w:spacing w:after="0" w:line="240" w:lineRule="auto"/>
        <w:jc w:val="center"/>
        <w:rPr>
          <w:rFonts w:ascii="Arial" w:hAnsi="Arial" w:cs="Times New Roman"/>
          <w:b/>
          <w:sz w:val="24"/>
          <w:szCs w:val="24"/>
        </w:rPr>
      </w:pPr>
    </w:p>
    <w:bookmarkEnd w:id="0"/>
    <w:p w:rsidR="00E0540A" w:rsidRDefault="003837E7">
      <w:pPr>
        <w:spacing w:after="0" w:line="240" w:lineRule="auto"/>
        <w:jc w:val="right"/>
        <w:rPr>
          <w:rFonts w:ascii="Arial" w:hAnsi="Arial"/>
        </w:rPr>
      </w:pPr>
      <w:proofErr w:type="spellStart"/>
      <w:r>
        <w:rPr>
          <w:rFonts w:ascii="Arial" w:hAnsi="Arial" w:cs="Times New Roman"/>
          <w:sz w:val="24"/>
          <w:szCs w:val="24"/>
        </w:rPr>
        <w:t>Lidiana</w:t>
      </w:r>
      <w:proofErr w:type="spellEnd"/>
      <w:r>
        <w:rPr>
          <w:rFonts w:ascii="Arial" w:hAnsi="Arial" w:cs="Times New Roman"/>
          <w:sz w:val="24"/>
          <w:szCs w:val="24"/>
        </w:rPr>
        <w:t xml:space="preserve"> Costa de Sousa TROVÃO</w:t>
      </w:r>
      <w:r>
        <w:rPr>
          <w:rStyle w:val="ncoradanotaderodap"/>
          <w:rFonts w:ascii="Arial" w:hAnsi="Arial" w:cs="Times New Roman"/>
          <w:sz w:val="24"/>
          <w:szCs w:val="24"/>
        </w:rPr>
        <w:footnoteReference w:id="1"/>
      </w:r>
    </w:p>
    <w:p w:rsidR="00E0540A" w:rsidRDefault="003837E7">
      <w:pPr>
        <w:spacing w:after="0" w:line="240" w:lineRule="auto"/>
        <w:jc w:val="right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>Larissa Aparecida COSTA</w:t>
      </w:r>
      <w:r>
        <w:rPr>
          <w:rStyle w:val="ncoradanotaderodap"/>
          <w:rFonts w:ascii="Arial" w:hAnsi="Arial" w:cs="Times New Roman"/>
          <w:sz w:val="24"/>
          <w:szCs w:val="24"/>
        </w:rPr>
        <w:footnoteReference w:id="2"/>
      </w:r>
    </w:p>
    <w:p w:rsidR="00E0540A" w:rsidRDefault="00E0540A">
      <w:pPr>
        <w:spacing w:after="0" w:line="240" w:lineRule="auto"/>
        <w:jc w:val="right"/>
        <w:rPr>
          <w:rFonts w:ascii="Arial" w:hAnsi="Arial" w:cs="Times New Roman"/>
          <w:sz w:val="24"/>
          <w:szCs w:val="24"/>
        </w:rPr>
      </w:pPr>
    </w:p>
    <w:p w:rsidR="00E0540A" w:rsidRDefault="003837E7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Times New Roman"/>
          <w:sz w:val="24"/>
          <w:szCs w:val="24"/>
        </w:rPr>
        <w:t xml:space="preserve">A crise na segurança pública é situação que no Brasil se arrasta por anos a fio.  Entretanto, não é demais lembrar que saúde e educação, apesar da vinculação orçamentária, nunca apresentaram avanços significativos e também são áreas que apresentam incisivas chagas: </w:t>
      </w:r>
      <w:proofErr w:type="spellStart"/>
      <w:r>
        <w:rPr>
          <w:rFonts w:ascii="Arial" w:hAnsi="Arial" w:cs="Times New Roman"/>
          <w:sz w:val="24"/>
          <w:szCs w:val="24"/>
        </w:rPr>
        <w:t>malferimento</w:t>
      </w:r>
      <w:proofErr w:type="spellEnd"/>
      <w:r>
        <w:rPr>
          <w:rFonts w:ascii="Arial" w:hAnsi="Arial" w:cs="Times New Roman"/>
          <w:sz w:val="24"/>
          <w:szCs w:val="24"/>
        </w:rPr>
        <w:t xml:space="preserve"> dos recursos, desvios e superfaturamentos são rasos exemplos. A pesquisa se torna relevante quando analisados os fatores nos quais estão assentados os direitos fundamentais e a dignidade humana, tanto em relação à superlotação dos presídios e a ausência de investimentos, quanto em relação à população, que vive em constante pavor. A vinculação orçamentária se mostra necessária, porém, temerária, pois não garante a solução do problema. À guisa de entendimento, despesas vinculadas não são oriundas somente de previsão constitucional, podem ter origem também em lei ordinária. Há crítica à vinculação constitucional de receitas pelo fato de se ter comprovação fática de que essa alocação não garante a efetividade desses setores. A crise na segurança pública se mostra um problema difícil de enfrentar, eis que se arrasta por anos e desafia os poderes da república a encontrarem alternativas para amenizar seus efeitos e reflexos. As propostas de enfrentamento da crise da segurança pública que, foram desde a vinculação orçamentária à construção de presídios, escoam na necessidade de investimentos no setor, mediante a liberação dos recursos do Fundo Penitenciário. Instado a se manifestar, o Supremo Tribunal Federal, no ano de 2015, reconheceu a incidência de um Estado de Coisa Inconstitucional em relação a crise do sistema penitenciário de nosso país. Na oportunidade, os demais poderes foram chamados ao diálogo numa tentativa de promover um entendimento mútuo, com o objetivo de sanar os problemas do sistema </w:t>
      </w:r>
      <w:proofErr w:type="gramStart"/>
      <w:r>
        <w:rPr>
          <w:rFonts w:ascii="Arial" w:hAnsi="Arial" w:cs="Times New Roman"/>
          <w:sz w:val="24"/>
          <w:szCs w:val="24"/>
        </w:rPr>
        <w:t>carcerário</w:t>
      </w:r>
      <w:proofErr w:type="gramEnd"/>
      <w:r>
        <w:rPr>
          <w:rFonts w:ascii="Arial" w:hAnsi="Arial" w:cs="Times New Roman"/>
          <w:sz w:val="24"/>
          <w:szCs w:val="24"/>
        </w:rPr>
        <w:t>. Apesar de terem sido determinadas uma série de providências a serem tomadas pelo governo federal, como a proibição de efetuar o contingenciamento dos recursos do Fundo Penitenciário, a liberação parcial de numerários aos estados resultaram em poucos avanços. Essas questões todas permeiam um elemento fundamental para a implementação de qualquer política pública, que é a preocupação do governo com o bem-estar da população, o que não tem sido visto nesse panorama. O que se pôde observar foi que durante muitos anos essa verba foi utilizada com desvio de finalidade, tendo em vista que o montante ali guardado servia de troféu para um superávit primário fantasioso. Apesar da pressão exercida durante e após a eclosão da última crise, a vinculação orçamentária não ocorreu, e os investimentos de fundos como o FUNPEN seguem a passos lentos. Utilizou-se o método dedutivo, pesquisa qualitativa e artigos científicos sobre o tema em questão.</w:t>
      </w:r>
    </w:p>
    <w:p w:rsidR="00E0540A" w:rsidRDefault="00E0540A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</w:p>
    <w:p w:rsidR="00E0540A" w:rsidRDefault="003837E7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Times New Roman"/>
          <w:color w:val="000000"/>
          <w:sz w:val="24"/>
          <w:szCs w:val="24"/>
        </w:rPr>
        <w:lastRenderedPageBreak/>
        <w:t xml:space="preserve">Palavras-chave: </w:t>
      </w:r>
      <w:bookmarkStart w:id="2" w:name="__DdeLink__73_3817396382"/>
      <w:bookmarkEnd w:id="2"/>
      <w:r>
        <w:rPr>
          <w:rFonts w:ascii="Arial" w:hAnsi="Arial" w:cs="Times New Roman"/>
          <w:color w:val="000000"/>
          <w:sz w:val="24"/>
          <w:szCs w:val="24"/>
        </w:rPr>
        <w:t>Vinculação orçamentária. Segurança pública. Crise. Presídios brasileiros.</w:t>
      </w:r>
    </w:p>
    <w:sectPr w:rsidR="00E0540A">
      <w:pgSz w:w="11906" w:h="16838"/>
      <w:pgMar w:top="1701" w:right="1134" w:bottom="1134" w:left="1701" w:header="0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7E7" w:rsidRDefault="003837E7">
      <w:pPr>
        <w:spacing w:after="0" w:line="240" w:lineRule="auto"/>
      </w:pPr>
      <w:r>
        <w:separator/>
      </w:r>
    </w:p>
  </w:endnote>
  <w:endnote w:type="continuationSeparator" w:id="0">
    <w:p w:rsidR="003837E7" w:rsidRDefault="0038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7E7" w:rsidRDefault="003837E7">
      <w:r>
        <w:separator/>
      </w:r>
    </w:p>
  </w:footnote>
  <w:footnote w:type="continuationSeparator" w:id="0">
    <w:p w:rsidR="003837E7" w:rsidRDefault="003837E7">
      <w:r>
        <w:continuationSeparator/>
      </w:r>
    </w:p>
  </w:footnote>
  <w:footnote w:id="1">
    <w:p w:rsidR="00E0540A" w:rsidRDefault="003837E7">
      <w:pPr>
        <w:pStyle w:val="Textodenotaderodap"/>
        <w:spacing w:after="0"/>
      </w:pPr>
      <w:r>
        <w:rPr>
          <w:rFonts w:ascii="Arial" w:hAnsi="Arial"/>
          <w:sz w:val="20"/>
          <w:szCs w:val="20"/>
        </w:rPr>
        <w:footnoteRef/>
      </w:r>
      <w:r>
        <w:rPr>
          <w:rFonts w:ascii="Arial" w:hAnsi="Arial"/>
          <w:sz w:val="20"/>
          <w:szCs w:val="20"/>
        </w:rPr>
        <w:tab/>
        <w:t xml:space="preserve"> Mestranda em Direito pela Universidade de Marília/SP. Bolsista PROSUP/CAPES UNIMAR.</w:t>
      </w:r>
      <w:r>
        <w:t xml:space="preserve"> </w:t>
      </w:r>
    </w:p>
  </w:footnote>
  <w:footnote w:id="2">
    <w:p w:rsidR="00E0540A" w:rsidRDefault="003837E7">
      <w:pPr>
        <w:pStyle w:val="Textodenotaderodap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ootnoteRef/>
      </w:r>
      <w:r>
        <w:rPr>
          <w:rFonts w:ascii="Arial" w:hAnsi="Arial"/>
          <w:sz w:val="20"/>
          <w:szCs w:val="20"/>
        </w:rPr>
        <w:tab/>
        <w:t xml:space="preserve"> Mestranda pela Universidade de Marília/SP. Professora de Prática Penal do </w:t>
      </w:r>
      <w:bookmarkStart w:id="1" w:name="__DdeLink__51_408046917"/>
      <w:r>
        <w:rPr>
          <w:rFonts w:ascii="Arial" w:hAnsi="Arial"/>
          <w:sz w:val="20"/>
          <w:szCs w:val="20"/>
        </w:rPr>
        <w:t>Centro Universitário Antônio Eufrásio de Toledo</w:t>
      </w:r>
      <w:bookmarkEnd w:id="1"/>
      <w:r>
        <w:rPr>
          <w:rFonts w:ascii="Arial" w:hAnsi="Arial"/>
          <w:sz w:val="20"/>
          <w:szCs w:val="20"/>
        </w:rPr>
        <w:t xml:space="preserve">. Especialista em Direito Penal </w:t>
      </w:r>
      <w:proofErr w:type="gramStart"/>
      <w:r>
        <w:rPr>
          <w:rFonts w:ascii="Arial" w:hAnsi="Arial"/>
          <w:sz w:val="20"/>
          <w:szCs w:val="20"/>
        </w:rPr>
        <w:t>pelo  Centro</w:t>
      </w:r>
      <w:proofErr w:type="gramEnd"/>
      <w:r>
        <w:rPr>
          <w:rFonts w:ascii="Arial" w:hAnsi="Arial"/>
          <w:sz w:val="20"/>
          <w:szCs w:val="20"/>
        </w:rPr>
        <w:t xml:space="preserve"> Universitário Antônio Eufrásio de Toledo. Advogada.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A"/>
    <w:rsid w:val="000E3D13"/>
    <w:rsid w:val="003837E7"/>
    <w:rsid w:val="007E0962"/>
    <w:rsid w:val="00E0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9BE5A-93A8-4412-A505-8B626246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E06B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DE06BE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AD41B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F3098D"/>
    <w:rPr>
      <w:color w:val="808080"/>
      <w:shd w:val="clear" w:color="auto" w:fill="E6E6E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C51C0"/>
  </w:style>
  <w:style w:type="character" w:customStyle="1" w:styleId="RodapChar">
    <w:name w:val="Rodapé Char"/>
    <w:basedOn w:val="Fontepargpadro"/>
    <w:link w:val="Rodap"/>
    <w:uiPriority w:val="99"/>
    <w:qFormat/>
    <w:rsid w:val="005C51C0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styleId="nfase">
    <w:name w:val="Emphasis"/>
    <w:qFormat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F0B62"/>
    <w:rPr>
      <w:rFonts w:ascii="Segoe UI" w:hAnsi="Segoe UI" w:cs="Segoe UI"/>
      <w:color w:val="00000A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F0B6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F0B62"/>
    <w:rPr>
      <w:color w:val="00000A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F0B62"/>
    <w:rPr>
      <w:b/>
      <w:bCs/>
      <w:color w:val="00000A"/>
      <w:szCs w:val="20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B96CC9"/>
    <w:pPr>
      <w:ind w:left="720"/>
      <w:contextualSpacing/>
    </w:pPr>
  </w:style>
  <w:style w:type="paragraph" w:styleId="Textodenotaderodap">
    <w:name w:val="footnote text"/>
    <w:basedOn w:val="Normal"/>
    <w:link w:val="TextodenotaderodapChar"/>
  </w:style>
  <w:style w:type="paragraph" w:styleId="NormalWeb">
    <w:name w:val="Normal (Web)"/>
    <w:basedOn w:val="Normal"/>
    <w:uiPriority w:val="99"/>
    <w:semiHidden/>
    <w:unhideWhenUsed/>
    <w:qFormat/>
    <w:rsid w:val="00E01BFD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3A382C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51C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C51C0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F0B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F0B62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F0B62"/>
    <w:rPr>
      <w:b/>
      <w:bCs/>
    </w:rPr>
  </w:style>
  <w:style w:type="paragraph" w:styleId="Reviso">
    <w:name w:val="Revision"/>
    <w:uiPriority w:val="99"/>
    <w:semiHidden/>
    <w:qFormat/>
    <w:rsid w:val="007D1B2F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8C99-BD77-4B49-8986-21BE4436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2549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Lidiana Costa de S. Trovão</dc:creator>
  <dc:description/>
  <cp:lastModifiedBy>Ana Carolina Itami Higashibara</cp:lastModifiedBy>
  <cp:revision>2</cp:revision>
  <dcterms:created xsi:type="dcterms:W3CDTF">2018-10-22T22:23:00Z</dcterms:created>
  <dcterms:modified xsi:type="dcterms:W3CDTF">2018-10-22T22:23:00Z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